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</w:t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Pr="00CD095B">
        <w:rPr>
          <w:rFonts w:ascii="Arial" w:hAnsi="Arial" w:cs="Arial"/>
          <w:sz w:val="20"/>
          <w:szCs w:val="20"/>
        </w:rPr>
        <w:t xml:space="preserve"> Załącznik Nr 2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CD095B">
        <w:rPr>
          <w:rFonts w:ascii="Arial" w:hAnsi="Arial" w:cs="Arial"/>
          <w:sz w:val="20"/>
          <w:szCs w:val="20"/>
        </w:rPr>
        <w:tab/>
        <w:t xml:space="preserve">   </w:t>
      </w:r>
      <w:r w:rsidRPr="00CD095B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Pr="00CD095B">
        <w:rPr>
          <w:rFonts w:ascii="Arial" w:hAnsi="Arial" w:cs="Arial"/>
          <w:sz w:val="20"/>
          <w:szCs w:val="20"/>
        </w:rPr>
        <w:t xml:space="preserve"> do Uchwały Nr ………………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CD095B">
        <w:rPr>
          <w:rFonts w:ascii="Arial" w:hAnsi="Arial" w:cs="Arial"/>
          <w:sz w:val="20"/>
          <w:szCs w:val="20"/>
        </w:rPr>
        <w:tab/>
        <w:t xml:space="preserve">   </w:t>
      </w:r>
      <w:r w:rsidRPr="00CD095B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r w:rsidRPr="00CD095B">
        <w:rPr>
          <w:rFonts w:ascii="Arial" w:hAnsi="Arial" w:cs="Arial"/>
          <w:sz w:val="20"/>
          <w:szCs w:val="20"/>
        </w:rPr>
        <w:t xml:space="preserve"> Rady Gminy Dubeninki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9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02244">
        <w:rPr>
          <w:rFonts w:ascii="Arial" w:hAnsi="Arial" w:cs="Arial"/>
          <w:sz w:val="20"/>
          <w:szCs w:val="20"/>
        </w:rPr>
        <w:t xml:space="preserve">                            </w:t>
      </w:r>
      <w:r w:rsidR="00302244">
        <w:rPr>
          <w:rFonts w:ascii="Arial" w:hAnsi="Arial" w:cs="Arial"/>
          <w:sz w:val="20"/>
          <w:szCs w:val="20"/>
        </w:rPr>
        <w:tab/>
      </w:r>
      <w:r w:rsidR="00302244">
        <w:rPr>
          <w:rFonts w:ascii="Arial" w:hAnsi="Arial" w:cs="Arial"/>
          <w:sz w:val="20"/>
          <w:szCs w:val="20"/>
        </w:rPr>
        <w:tab/>
      </w:r>
      <w:r w:rsidR="001179A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CD095B">
        <w:rPr>
          <w:rFonts w:ascii="Arial" w:hAnsi="Arial" w:cs="Arial"/>
          <w:sz w:val="20"/>
          <w:szCs w:val="20"/>
        </w:rPr>
        <w:t xml:space="preserve"> z dnia ……………………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0"/>
          <w:szCs w:val="20"/>
        </w:rPr>
        <w:t>Opis przyjętych wartości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do Wieloletniej Prognozy Finansowej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Gminy Dubeninki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na lata 201</w:t>
      </w:r>
      <w:r w:rsidRPr="00CD095B">
        <w:rPr>
          <w:rFonts w:ascii="Arial" w:hAnsi="Arial" w:cs="Arial"/>
          <w:sz w:val="28"/>
          <w:szCs w:val="28"/>
        </w:rPr>
        <w:t>8</w:t>
      </w:r>
      <w:r w:rsidRPr="00CD095B">
        <w:rPr>
          <w:rFonts w:ascii="Arial" w:hAnsi="Arial" w:cs="Arial"/>
          <w:sz w:val="29"/>
          <w:szCs w:val="29"/>
        </w:rPr>
        <w:t xml:space="preserve"> -2028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1.Założenia wstępne.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Wieloletnia Prognoza Finansowa Gminy Dubeninki przygotowana została na lata 2018 – 2028 Długość okresu objętego prognozą wynika z art. 227 ust. 2 Ustawy z dnia 27 sierpnia  2009 roku o finansach publicznych (Dz. U. Nr 157, poz. 1240 ze zm.) dalej zwana Ustawą. Z brzmienia przepisu wynika, że prognozę należy sporządzić na czas nie krótszy niż okres, na jaki przyjęto limity wydatków dla przedsięwzięć, o których mowa w art. 226 ust. 3. I okres spłaty długu. Ostatnia potencjalny wykup obligacji przypada w roku 2028. Odległy czas prognozowania zwiększa ryzyko niewłaściwego oszacowania wartości przyjętych w prognozie w odniesieniu do faktycznie uzyskanych. Zwracając uwagę na kroczący charakter prognozy, która corocznie będzie nowelizowana przyjęto następujące założenia: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•dla roku 2017 przyjęto wartości wynikające z projektu budżetu;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•dla lat 2018-2028 przyjęto sposób prognozowania, poprzez indeksację o poszczególne wskaźniki oraz korekty merytoryczne; Podzielenie prognozy w powyższy sposób pozwala na realną ocenę możliwości inwestycyjno-kredytowych Gminy. Niestabilność i nieprzewidywalność cykli gospodarczych nakazuje zachowanie szczególnej ostrożności dla prognoz długookresowych. Ponadto brak stabilnego odniesienia dla długofalowej polityki finansowej samorządu oraz znaczna zmienność budżetów gmin w ciągu ostatnich dziesięciu lat wymuszają określenie granicy rozwoju samorządu terytorialnego.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Dla prognozy w latach 2018-2028 przyjęto co następuje: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- poziom inflacji (mierzonej wskaźnikiem wzrostu cen dóbr i usług konsumpcyjnych - CP</w:t>
      </w:r>
    </w:p>
    <w:p w:rsidR="00CD095B" w:rsidRPr="00CD095B" w:rsidRDefault="00302244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9"/>
          <w:szCs w:val="29"/>
        </w:rPr>
        <w:t xml:space="preserve">I) </w:t>
      </w:r>
      <w:r w:rsidR="00CD095B" w:rsidRPr="00CD095B">
        <w:rPr>
          <w:rFonts w:ascii="Arial" w:hAnsi="Arial" w:cs="Arial"/>
          <w:sz w:val="29"/>
          <w:szCs w:val="29"/>
        </w:rPr>
        <w:t>w badanym okresie:</w:t>
      </w:r>
      <w:r w:rsidR="00CD095B" w:rsidRPr="00CD095B">
        <w:rPr>
          <w:rFonts w:ascii="Arial" w:hAnsi="Arial" w:cs="Arial"/>
          <w:sz w:val="24"/>
          <w:szCs w:val="24"/>
        </w:rPr>
        <w:t xml:space="preserve"> 2017 2018 2019 2020 2021 2022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0"/>
          <w:szCs w:val="20"/>
        </w:rPr>
        <w:t>Inflacja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4"/>
          <w:szCs w:val="24"/>
        </w:rPr>
        <w:t xml:space="preserve">  2,60% 2,30% 2,50% 2,50% 2,50% 2,50%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- poziom PKB w badanym okresie:</w:t>
      </w:r>
      <w:r w:rsidRPr="00CD095B">
        <w:rPr>
          <w:rFonts w:ascii="Arial" w:hAnsi="Arial" w:cs="Arial"/>
          <w:sz w:val="24"/>
          <w:szCs w:val="24"/>
        </w:rPr>
        <w:t xml:space="preserve"> 2017 2018 2019 2020 2021 2022 PKB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95B">
        <w:rPr>
          <w:rFonts w:ascii="Arial" w:hAnsi="Arial" w:cs="Arial"/>
          <w:sz w:val="24"/>
          <w:szCs w:val="24"/>
        </w:rPr>
        <w:t>3,10% 3,80% 5,00% 5,00% 5,00% 5,00%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1" w:name="2"/>
      <w:bookmarkEnd w:id="1"/>
      <w:r w:rsidRPr="00CD095B">
        <w:rPr>
          <w:rFonts w:ascii="Arial" w:hAnsi="Arial" w:cs="Arial"/>
          <w:sz w:val="29"/>
          <w:szCs w:val="29"/>
        </w:rPr>
        <w:t>2.</w:t>
      </w:r>
      <w:r w:rsidR="00302244">
        <w:rPr>
          <w:rFonts w:ascii="Arial" w:hAnsi="Arial" w:cs="Arial"/>
          <w:sz w:val="29"/>
          <w:szCs w:val="29"/>
        </w:rPr>
        <w:t xml:space="preserve"> </w:t>
      </w:r>
      <w:r w:rsidRPr="00CD095B">
        <w:rPr>
          <w:rFonts w:ascii="Arial" w:hAnsi="Arial" w:cs="Arial"/>
          <w:sz w:val="29"/>
          <w:szCs w:val="29"/>
        </w:rPr>
        <w:t>Prognoza dochodów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Prognozy dochodów dokonano przy następujących założeniach: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w dochodach ogółem dokonano podziału na dochody majątkowe i bieżące.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lastRenderedPageBreak/>
        <w:t xml:space="preserve">W dochodach bieżących prognozowano w podziale na kategorie: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podatki i opłaty lokalne (wyszczególniając podatki: od nieruchomości, rolny, leśny, od środków transportowych, od czynności cywilno-prawnych, od spadków i darowizn oraz opłaty: skarbowa, targowa, za zezwolenie na sprzedaż alkoholu oraz pozostałe podatki i opłaty)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udział w podatkach centralnych budżetu państwa (wyszczególniając: udział w podatku dochodowym od osób fizycznych – PIT oraz udział w podatku dochodowym od osób prawnych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subwencje z budżetu państwa,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dochody bieżące.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dochodach majątkowych prognozowano w podziale na kategorie: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dochody z majątku (wyszczególniając sprzedaż mienia oraz przekształcenie prawa użytkowania wieczystego w prawo własności);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dotacje na inwestycje (wyszczególniając dofinansowanie budżetu państwa oraz pozostałe środki na inwestycje)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Wszystkie wymienione kategorie wybrane zostały na podstawie paragrafów klasyfikacji budżetowej. Kategorie dochodów bieżących prognozowano za pomocą wskaźników inflacji oraz wskaźnika dynamiki PKB. Posłużono się metodą indeksacji wartości bazowych o odpowiednio przypisany dla każdej kategorii wskaźnik. Ponadto poszczególnym kategoriom nadano „wagi wskaźnika”. . Sposób indeksacji za pomocą wag przedstawia poniższy wzór: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1</w:t>
      </w:r>
      <w:r w:rsidRPr="00CD095B">
        <w:rPr>
          <w:rFonts w:ascii="Arial" w:hAnsi="Arial" w:cs="Arial"/>
          <w:sz w:val="29"/>
          <w:szCs w:val="29"/>
        </w:rPr>
        <w:t>=X</w:t>
      </w:r>
      <w:r w:rsidRPr="00CD095B">
        <w:rPr>
          <w:rFonts w:ascii="Arial" w:hAnsi="Arial" w:cs="Arial"/>
          <w:sz w:val="20"/>
          <w:szCs w:val="20"/>
        </w:rPr>
        <w:t>0</w:t>
      </w:r>
      <w:r w:rsidRPr="00CD095B">
        <w:rPr>
          <w:rFonts w:ascii="Arial" w:hAnsi="Arial" w:cs="Arial"/>
          <w:sz w:val="29"/>
          <w:szCs w:val="29"/>
        </w:rPr>
        <w:t>*(1+CPI*</w:t>
      </w:r>
      <w:proofErr w:type="spellStart"/>
      <w:r w:rsidRPr="00CD095B">
        <w:rPr>
          <w:rFonts w:ascii="Arial" w:hAnsi="Arial" w:cs="Arial"/>
          <w:sz w:val="29"/>
          <w:szCs w:val="29"/>
        </w:rPr>
        <w:t>u</w:t>
      </w:r>
      <w:r w:rsidRPr="00CD095B">
        <w:rPr>
          <w:rFonts w:ascii="Arial" w:hAnsi="Arial" w:cs="Arial"/>
          <w:sz w:val="20"/>
          <w:szCs w:val="20"/>
        </w:rPr>
        <w:t>CPI</w:t>
      </w:r>
      <w:proofErr w:type="spellEnd"/>
      <w:r w:rsidRPr="00CD095B">
        <w:rPr>
          <w:rFonts w:ascii="Arial" w:hAnsi="Arial" w:cs="Arial"/>
          <w:sz w:val="29"/>
          <w:szCs w:val="29"/>
        </w:rPr>
        <w:t>)*(1+∆</w:t>
      </w:r>
      <w:proofErr w:type="spellStart"/>
      <w:r w:rsidRPr="00CD095B">
        <w:rPr>
          <w:rFonts w:ascii="Arial" w:hAnsi="Arial" w:cs="Arial"/>
          <w:sz w:val="29"/>
          <w:szCs w:val="29"/>
        </w:rPr>
        <w:t>PKB+u</w:t>
      </w:r>
      <w:r w:rsidRPr="00CD095B">
        <w:rPr>
          <w:rFonts w:ascii="Arial" w:hAnsi="Arial" w:cs="Arial"/>
          <w:sz w:val="20"/>
          <w:szCs w:val="20"/>
        </w:rPr>
        <w:t>∆PKB</w:t>
      </w:r>
      <w:proofErr w:type="spellEnd"/>
      <w:r w:rsidRPr="00CD095B">
        <w:rPr>
          <w:rFonts w:ascii="Arial" w:hAnsi="Arial" w:cs="Arial"/>
          <w:sz w:val="29"/>
          <w:szCs w:val="29"/>
        </w:rPr>
        <w:t xml:space="preserve">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gdzie: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1</w:t>
      </w:r>
      <w:r w:rsidRPr="00CD095B">
        <w:rPr>
          <w:rFonts w:ascii="Arial" w:hAnsi="Arial" w:cs="Arial"/>
          <w:sz w:val="29"/>
          <w:szCs w:val="29"/>
        </w:rPr>
        <w:t xml:space="preserve">- wartość prognozowana danej kategorii dochodów bądź wydatków budżetowych,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X</w:t>
      </w:r>
      <w:r w:rsidRPr="00CD095B">
        <w:rPr>
          <w:rFonts w:ascii="Arial" w:hAnsi="Arial" w:cs="Arial"/>
          <w:sz w:val="20"/>
          <w:szCs w:val="20"/>
        </w:rPr>
        <w:t>0</w:t>
      </w:r>
      <w:r w:rsidRPr="00CD095B">
        <w:rPr>
          <w:rFonts w:ascii="Arial" w:hAnsi="Arial" w:cs="Arial"/>
          <w:sz w:val="29"/>
          <w:szCs w:val="29"/>
        </w:rPr>
        <w:t xml:space="preserve">- wartość danej kategorii dochodów bądź wydatków budżetowych w roku poprzedzającym,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CPI – wartość wskaźnika inflacji w roku prognozowanym,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proofErr w:type="spellStart"/>
      <w:r w:rsidRPr="00CD095B">
        <w:rPr>
          <w:rFonts w:ascii="Arial" w:hAnsi="Arial" w:cs="Arial"/>
          <w:sz w:val="29"/>
          <w:szCs w:val="29"/>
        </w:rPr>
        <w:t>u</w:t>
      </w:r>
      <w:r w:rsidRPr="00CD095B">
        <w:rPr>
          <w:rFonts w:ascii="Arial" w:hAnsi="Arial" w:cs="Arial"/>
          <w:sz w:val="20"/>
          <w:szCs w:val="20"/>
        </w:rPr>
        <w:t>CPI</w:t>
      </w:r>
      <w:proofErr w:type="spellEnd"/>
      <w:r w:rsidRPr="00CD095B">
        <w:rPr>
          <w:rFonts w:ascii="Arial" w:hAnsi="Arial" w:cs="Arial"/>
          <w:sz w:val="29"/>
          <w:szCs w:val="29"/>
        </w:rPr>
        <w:t xml:space="preserve">- waga przypisana wskaźnikowi CPI, będąca jego rzeczywistym wpływem na prognozowaną kategorię,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∆PKB - wskaźnik dynamiki PKB,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2" w:name="3"/>
      <w:bookmarkEnd w:id="2"/>
      <w:r w:rsidRPr="00CD095B">
        <w:rPr>
          <w:rFonts w:ascii="Arial" w:hAnsi="Arial" w:cs="Arial"/>
          <w:sz w:val="29"/>
          <w:szCs w:val="29"/>
        </w:rPr>
        <w:t xml:space="preserve">u </w:t>
      </w:r>
      <w:r w:rsidRPr="00CD095B">
        <w:rPr>
          <w:rFonts w:ascii="Arial" w:hAnsi="Arial" w:cs="Arial"/>
          <w:sz w:val="20"/>
          <w:szCs w:val="20"/>
        </w:rPr>
        <w:t>∆P KB</w:t>
      </w:r>
      <w:r w:rsidRPr="00CD095B">
        <w:rPr>
          <w:rFonts w:ascii="Arial" w:hAnsi="Arial" w:cs="Arial"/>
          <w:sz w:val="29"/>
          <w:szCs w:val="29"/>
        </w:rPr>
        <w:t xml:space="preserve">- waga przypisana wskaźnikowi dynamiki PKB, będąca jego rzeczywistym wpływem na prognozowaną kategorię.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poszczególnych kategoriach nadano następujące wagi: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podatki i opłaty lokalne (waloryzacja od 2017 o 100% inflacji,);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udział w podatkach centralnych ( indeksacja o 90%PKB)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subwencje (indeksacja o 90% inflacji)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dotacje (90% inflacji)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dochody (90% inflacji).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lastRenderedPageBreak/>
        <w:t>Dochody o charakterze majątkowym prognozowano tylko do terminów, które umożliwiły racjonalne przewidzeni</w:t>
      </w:r>
      <w:r>
        <w:rPr>
          <w:rFonts w:ascii="Arial" w:hAnsi="Arial" w:cs="Arial"/>
          <w:sz w:val="29"/>
          <w:szCs w:val="29"/>
        </w:rPr>
        <w:t>e kształtowania się wpływów</w:t>
      </w:r>
      <w:r w:rsidRPr="00CD095B">
        <w:rPr>
          <w:rFonts w:ascii="Arial" w:hAnsi="Arial" w:cs="Arial"/>
          <w:sz w:val="29"/>
          <w:szCs w:val="29"/>
        </w:rPr>
        <w:t xml:space="preserve"> z tych kategorii. Uzyskane w powyższy sposób wartości dochodów zsumowano w kategorie dochodów bieżących i majątkowych a następnie dochodów ogółem. Zestawienie ogólnych kwot przedstawiono w załączniku Nr 1.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>3.Prognoza wydatków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Podobnie jak dochody, wydatki podzielono przy prognozowaniu na kategorie wydatków bieżących i wydatków majątkowych. Wydatki bieżące dodatkowo podzielone zostały na poszczególne działy klasyfikacji budżetowej, a wśród nich wyodrębniono wydatki z tytułu wynagrodzeń, pochodnych od wynagrodzeń i pozostałych wydatków bieżących. Ponadto w dziale 757 wyodrębniono wydatki związane z obsługą zadłużenia oraz z tytułu potencjalnych spłat poręczeń i gwarancji. W dziale 750 dodatkowo wyodrębniono kategorię wydatków związanych z funkcjonowaniem organów JST.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Zgodnie z założeniami przyjętymi przy prognozie dochodów, dla wydatków bieżących w roku 2017 przyjęto projekt budżetu. W latach 2018-2028 dokonano indeksacji o wagi wskaźników inflacji oraz PKB.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Po analizie budżetów historycznych z lat 2014-2017 przyznano następujące wagi dla najistotniejszych kategorii: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wynagrodzenia i pochodne (indeksacja o 100% PKB w dziale 750 –administracja publiczna oraz indeksacja o 100% inflacji w dziale 801 – oświata i wychowanie.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W pozostałych działach indeksowano o 80% inflacji. </w:t>
      </w:r>
    </w:p>
    <w:p w:rsidR="00CD095B" w:rsidRPr="00CD095B" w:rsidRDefault="00CD095B" w:rsidP="00CD0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CD095B">
        <w:rPr>
          <w:rFonts w:ascii="Arial" w:hAnsi="Arial" w:cs="Arial"/>
          <w:sz w:val="29"/>
          <w:szCs w:val="29"/>
        </w:rPr>
        <w:t xml:space="preserve">- pozostałe bieżące (indeksacja w zależności od kształtowania się w latach poprzednich dla poszczególnych działów od 50% inflacji do 100% inflacji). </w:t>
      </w:r>
    </w:p>
    <w:p w:rsidR="00CD095B" w:rsidRPr="00CD095B" w:rsidRDefault="00CD095B" w:rsidP="00CD0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:rsidR="000D0436" w:rsidRDefault="000D0436"/>
    <w:sectPr w:rsidR="000D0436" w:rsidSect="00A4337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B"/>
    <w:rsid w:val="000D0436"/>
    <w:rsid w:val="001179A5"/>
    <w:rsid w:val="00302244"/>
    <w:rsid w:val="00C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3</cp:revision>
  <dcterms:created xsi:type="dcterms:W3CDTF">2017-11-11T10:23:00Z</dcterms:created>
  <dcterms:modified xsi:type="dcterms:W3CDTF">2017-11-11T10:26:00Z</dcterms:modified>
</cp:coreProperties>
</file>