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86" w:rsidRPr="00762C86" w:rsidRDefault="00762C86" w:rsidP="00762C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2C86">
        <w:rPr>
          <w:rFonts w:ascii="Times New Roman" w:hAnsi="Times New Roman" w:cs="Times New Roman"/>
          <w:sz w:val="20"/>
          <w:szCs w:val="20"/>
        </w:rPr>
        <w:t>UZASADNIENIE</w:t>
      </w:r>
    </w:p>
    <w:p w:rsidR="00762C86" w:rsidRPr="00762C86" w:rsidRDefault="00762C86" w:rsidP="00762C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C86" w:rsidRPr="00762C86" w:rsidRDefault="00762C86" w:rsidP="00762C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C86" w:rsidRPr="00762C86" w:rsidRDefault="00762C86" w:rsidP="00762C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86">
        <w:rPr>
          <w:rFonts w:ascii="Times New Roman" w:hAnsi="Times New Roman" w:cs="Times New Roman"/>
          <w:sz w:val="24"/>
          <w:szCs w:val="24"/>
        </w:rPr>
        <w:t xml:space="preserve">Dokonano zmiany Wieloletniej Prognozy Finansowej na lata 2017-2028 w związku ze zmianami w planach dochodów i wydatków budżetu na 2017 rok. Zwiększono plan dochodów o kwotę 3.042,00 zł., w tym dochodów bieżących o kwotę 3.042,00 zł. Zwiększono plan wydatków o kwotę 3.042,00 zł., w tym wydatków bieżących o kwotę 3.042,00 zł. </w:t>
      </w:r>
    </w:p>
    <w:p w:rsidR="00762C86" w:rsidRPr="00762C86" w:rsidRDefault="00762C86" w:rsidP="00762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C86" w:rsidRPr="00762C86" w:rsidRDefault="00762C86" w:rsidP="00762C86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:rsidR="00762C86" w:rsidRPr="00762C86" w:rsidRDefault="00762C86" w:rsidP="00762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4F95" w:rsidRDefault="001C4F95">
      <w:bookmarkStart w:id="0" w:name="_GoBack"/>
      <w:bookmarkEnd w:id="0"/>
    </w:p>
    <w:sectPr w:rsidR="001C4F95" w:rsidSect="00300D9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86"/>
    <w:rsid w:val="001C4F95"/>
    <w:rsid w:val="007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1</cp:revision>
  <dcterms:created xsi:type="dcterms:W3CDTF">2018-01-03T08:47:00Z</dcterms:created>
  <dcterms:modified xsi:type="dcterms:W3CDTF">2018-01-03T08:47:00Z</dcterms:modified>
</cp:coreProperties>
</file>