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24" w:rsidRPr="008E1E24" w:rsidRDefault="008E1E24" w:rsidP="008E1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24">
        <w:rPr>
          <w:rFonts w:ascii="Times New Roman" w:hAnsi="Times New Roman" w:cs="Times New Roman"/>
          <w:sz w:val="24"/>
          <w:szCs w:val="24"/>
        </w:rPr>
        <w:t xml:space="preserve">      UZASADNIENIE </w:t>
      </w:r>
    </w:p>
    <w:p w:rsidR="008E1E24" w:rsidRPr="008E1E24" w:rsidRDefault="008E1E24" w:rsidP="008E1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24" w:rsidRPr="008E1E24" w:rsidRDefault="008E1E24" w:rsidP="008E1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24" w:rsidRPr="008E1E24" w:rsidRDefault="008E1E24" w:rsidP="008E1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E24">
        <w:rPr>
          <w:rFonts w:ascii="Times New Roman" w:hAnsi="Times New Roman" w:cs="Times New Roman"/>
          <w:sz w:val="24"/>
          <w:szCs w:val="24"/>
        </w:rPr>
        <w:t xml:space="preserve">      Dokonano zmiany Wieloletniej Prognozy Finansowej na lata 2019-2028 w związku ze zmianami w planach dochodów i wydatków budżetu na 2019 rok. Ogółem zmniejszono plan dochodów o kwotę 59.805,93 zł. Ogółem zmniejszono plan wydatków o kwotę 412.633,62 zł.  Zwiększono plan rozchodów budżetu o kwotę 352.827,69 zł., w tym: inne rozchody niezwiązane ze spłatą długu o kwotę 221.947,04 zł. i spłatę rat kapitałowych o kwotę 130.880,65 zł. Zmniejszono deficyt budżetowy o kwotę 352.827,69 zł.</w:t>
      </w:r>
    </w:p>
    <w:p w:rsidR="008E1E24" w:rsidRPr="008E1E24" w:rsidRDefault="008E1E24" w:rsidP="008E1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24" w:rsidRPr="008E1E24" w:rsidRDefault="008E1E24" w:rsidP="008E1E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24" w:rsidRPr="008E1E24" w:rsidRDefault="008E1E24" w:rsidP="008E1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DF" w:rsidRDefault="001D20DF">
      <w:bookmarkStart w:id="0" w:name="_GoBack"/>
      <w:bookmarkEnd w:id="0"/>
    </w:p>
    <w:sectPr w:rsidR="001D20DF" w:rsidSect="005F06A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24"/>
    <w:rsid w:val="001D20DF"/>
    <w:rsid w:val="008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1</cp:revision>
  <dcterms:created xsi:type="dcterms:W3CDTF">2019-11-09T11:19:00Z</dcterms:created>
  <dcterms:modified xsi:type="dcterms:W3CDTF">2019-11-09T11:20:00Z</dcterms:modified>
</cp:coreProperties>
</file>