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1D7">
        <w:rPr>
          <w:rFonts w:ascii="Arial" w:hAnsi="Arial" w:cs="Arial"/>
          <w:sz w:val="20"/>
          <w:szCs w:val="20"/>
        </w:rPr>
        <w:tab/>
      </w:r>
      <w:r w:rsidRPr="007801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801D7">
        <w:rPr>
          <w:rFonts w:ascii="Arial" w:hAnsi="Arial" w:cs="Arial"/>
          <w:sz w:val="20"/>
          <w:szCs w:val="20"/>
        </w:rPr>
        <w:t>Załącznik Nr 2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1D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4108C1">
        <w:rPr>
          <w:rFonts w:ascii="Arial" w:hAnsi="Arial" w:cs="Arial"/>
          <w:sz w:val="20"/>
          <w:szCs w:val="20"/>
        </w:rPr>
        <w:t xml:space="preserve">       </w:t>
      </w:r>
      <w:r w:rsidR="004108C1">
        <w:rPr>
          <w:rFonts w:ascii="Arial" w:hAnsi="Arial" w:cs="Arial"/>
          <w:sz w:val="20"/>
          <w:szCs w:val="20"/>
        </w:rPr>
        <w:tab/>
        <w:t xml:space="preserve">   </w:t>
      </w:r>
      <w:r w:rsidR="004108C1">
        <w:rPr>
          <w:rFonts w:ascii="Arial" w:hAnsi="Arial" w:cs="Arial"/>
          <w:sz w:val="20"/>
          <w:szCs w:val="20"/>
        </w:rPr>
        <w:tab/>
      </w:r>
      <w:r w:rsidR="004108C1">
        <w:rPr>
          <w:rFonts w:ascii="Arial" w:hAnsi="Arial" w:cs="Arial"/>
          <w:sz w:val="20"/>
          <w:szCs w:val="20"/>
        </w:rPr>
        <w:tab/>
        <w:t xml:space="preserve"> do Uchwały Nr X/74/19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1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7801D7">
        <w:rPr>
          <w:rFonts w:ascii="Arial" w:hAnsi="Arial" w:cs="Arial"/>
          <w:sz w:val="20"/>
          <w:szCs w:val="20"/>
        </w:rPr>
        <w:tab/>
        <w:t xml:space="preserve">   </w:t>
      </w:r>
      <w:r w:rsidRPr="007801D7">
        <w:rPr>
          <w:rFonts w:ascii="Arial" w:hAnsi="Arial" w:cs="Arial"/>
          <w:sz w:val="20"/>
          <w:szCs w:val="20"/>
        </w:rPr>
        <w:tab/>
      </w:r>
      <w:r w:rsidRPr="007801D7">
        <w:rPr>
          <w:rFonts w:ascii="Arial" w:hAnsi="Arial" w:cs="Arial"/>
          <w:sz w:val="20"/>
          <w:szCs w:val="20"/>
        </w:rPr>
        <w:tab/>
        <w:t xml:space="preserve"> Rady Gminy Dubeninki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1D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4108C1">
        <w:rPr>
          <w:rFonts w:ascii="Arial" w:hAnsi="Arial" w:cs="Arial"/>
          <w:sz w:val="20"/>
          <w:szCs w:val="20"/>
        </w:rPr>
        <w:t xml:space="preserve">                </w:t>
      </w:r>
      <w:r w:rsidR="004108C1">
        <w:rPr>
          <w:rFonts w:ascii="Arial" w:hAnsi="Arial" w:cs="Arial"/>
          <w:sz w:val="20"/>
          <w:szCs w:val="20"/>
        </w:rPr>
        <w:tab/>
      </w:r>
      <w:r w:rsidR="004108C1">
        <w:rPr>
          <w:rFonts w:ascii="Arial" w:hAnsi="Arial" w:cs="Arial"/>
          <w:sz w:val="20"/>
          <w:szCs w:val="20"/>
        </w:rPr>
        <w:tab/>
      </w:r>
      <w:r w:rsidR="004108C1">
        <w:rPr>
          <w:rFonts w:ascii="Arial" w:hAnsi="Arial" w:cs="Arial"/>
          <w:sz w:val="20"/>
          <w:szCs w:val="20"/>
        </w:rPr>
        <w:tab/>
        <w:t xml:space="preserve"> z dnia 30 grudnia 2019 r.</w:t>
      </w:r>
      <w:r w:rsidRPr="007801D7">
        <w:rPr>
          <w:rFonts w:ascii="Arial" w:hAnsi="Arial" w:cs="Arial"/>
          <w:sz w:val="20"/>
          <w:szCs w:val="20"/>
        </w:rPr>
        <w:t xml:space="preserve">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01D7">
        <w:rPr>
          <w:rFonts w:ascii="Arial" w:hAnsi="Arial" w:cs="Arial"/>
          <w:sz w:val="20"/>
          <w:szCs w:val="20"/>
        </w:rPr>
        <w:t>Opis przyjętych wartości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8"/>
          <w:szCs w:val="28"/>
        </w:rPr>
        <w:t>do Wieloletniej Prognozy Finansowej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Gminy Dubeninki</w:t>
      </w:r>
      <w:bookmarkStart w:id="0" w:name="_GoBack"/>
      <w:bookmarkEnd w:id="0"/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na lata 2020 -2028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1.Założenia wstępne.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Wieloletnia Prognoza Finansowa Gminy Dubeninki przygotowana została na lata 2020 – 2028 Długość okresu objętego prognozą wynika z art. 227 ust. 2 Ustawy z dnia 27 sierpnia  2009 roku o finansach publicznych (Dz. U. Nr 157, poz. 1240 ze zm.) dalej zwana Ustawą. Z brzmienia przepisu wynika, że prognozę należy sporządzić na czas nie krótszy niż okres, na jaki przyjęto limity wydatków dla przedsięwzięć, o których mowa w art. 226 ust. 3. I okres spłaty długu. Ostatnia potencjalny wykup obligacji przypada w roku 2028. Odległy czas prognozowania zwiększa ryzyko niewłaściwego oszacowania wartości przyjętych w prognozie w odniesieniu do faktycznie uzyskanych. Zwracając uwagę na kroczący charakter prognozy, która corocznie będzie nowelizowana przyjęto następujące założenia: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•dla roku 2019 przyjęto wartości wynikające z projektu budżetu;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•dla lat 2020-2028 przyjęto sposób prognozowania, poprzez indeksację o poszczególne wskaźniki oraz korekty merytoryczne; Podzielenie prognozy w powyższy sposób pozwala na realną ocenę możliwości inwestycyjno-kredytowych Gminy. Niestabilność i nieprzewidywalność cykli gospodarczych nakazuje zachowanie szczególnej ostrożności dla prognoz długookresowych. Ponadto brak stabilnego odniesienia dla długofalowej polityki finansowej samorządu oraz znaczna zmienność budżetów gmin w ciągu ostatnich dziesięciu lat wymuszają określenie granicy rozwoju samorządu terytorialnego.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Dla prognozy w latach 2020-2028 przyjęto co następuje: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- poziom inflacji (mierzonej wskaźnikiem wzrostu cen dóbr i usług konsumpcyjnych - CP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1D7">
        <w:rPr>
          <w:rFonts w:ascii="Arial" w:hAnsi="Arial" w:cs="Arial"/>
          <w:sz w:val="29"/>
          <w:szCs w:val="29"/>
        </w:rPr>
        <w:t>I) w badanym okresie:</w:t>
      </w:r>
      <w:r w:rsidRPr="007801D7">
        <w:rPr>
          <w:rFonts w:ascii="Arial" w:hAnsi="Arial" w:cs="Arial"/>
          <w:sz w:val="24"/>
          <w:szCs w:val="24"/>
        </w:rPr>
        <w:t xml:space="preserve"> 2019 2020 2021 2022 2023 2024 2025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1D7">
        <w:rPr>
          <w:rFonts w:ascii="Arial" w:hAnsi="Arial" w:cs="Arial"/>
          <w:sz w:val="20"/>
          <w:szCs w:val="20"/>
        </w:rPr>
        <w:t>Inflacja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1D7">
        <w:rPr>
          <w:rFonts w:ascii="Arial" w:hAnsi="Arial" w:cs="Arial"/>
          <w:sz w:val="24"/>
          <w:szCs w:val="24"/>
        </w:rPr>
        <w:t xml:space="preserve">  2,30% 2,30% 2,50% 2,50% 2,50% 2,50%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- poziom PKB w badanym okresie:</w:t>
      </w:r>
      <w:r w:rsidRPr="007801D7">
        <w:rPr>
          <w:rFonts w:ascii="Arial" w:hAnsi="Arial" w:cs="Arial"/>
          <w:sz w:val="24"/>
          <w:szCs w:val="24"/>
        </w:rPr>
        <w:t xml:space="preserve"> 2019 2020 2021 2022 2023 2024 2025 PKB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1D7">
        <w:rPr>
          <w:rFonts w:ascii="Arial" w:hAnsi="Arial" w:cs="Arial"/>
          <w:sz w:val="24"/>
          <w:szCs w:val="24"/>
        </w:rPr>
        <w:t>3,80 % 3,80% 5,00% 5,00% 5,00% 5,00%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1" w:name="2"/>
      <w:bookmarkEnd w:id="1"/>
      <w:r w:rsidRPr="007801D7">
        <w:rPr>
          <w:rFonts w:ascii="Arial" w:hAnsi="Arial" w:cs="Arial"/>
          <w:sz w:val="29"/>
          <w:szCs w:val="29"/>
        </w:rPr>
        <w:t>2. Prognoza dochodów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Prognozy dochodów dokonano przy następujących założeniach: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w dochodach ogółem dokonano podziału na dochody majątkowe i bieżące.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lastRenderedPageBreak/>
        <w:t xml:space="preserve">W dochodach bieżących prognozowano w podziale na kategorie: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podatki i opłaty lokalne (wyszczególniając podatki: od nieruchomości, rolny, leśny, od środków transportowych, od czynności cywilno-prawnych, od spadków i darowizn oraz opłaty: skarbowa, targowa, za zezwolenie na sprzedaż alkoholu oraz pozostałe podatki i opłaty)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udział w podatkach centralnych budżetu państwa (wyszczególniając: udział w podatku dochodowym od osób fizycznych – PIT oraz udział w podatku dochodowym od osób prawnych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801D7">
        <w:rPr>
          <w:rFonts w:ascii="Arial" w:hAnsi="Arial" w:cs="Arial"/>
          <w:sz w:val="29"/>
          <w:szCs w:val="29"/>
        </w:rPr>
        <w:t xml:space="preserve">- subwencje z budżetu państwa,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- z tytułu dotacji i środków przeznaczonych na cele bieżące,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pozostałe dochody bieżące.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W dochodach majątkowych prognozowano w podziale na kategorie: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dochody z majątku (wyszczególniając sprzedaż mienia oraz przekształcenie prawa użytkowania wieczystego w prawo własności);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dotacje na inwestycje (wyszczególniając dofinansowanie budżetu państwa oraz pozostałe środki na inwestycje)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Wszystkie wymienione kategorie wybrane zostały na podstawie paragrafów klasyfikacji budżetowej. Kategorie dochodów bieżących prognozowano za pomocą wskaźników inflacji oraz wskaźnika dynamiki PKB.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W poszczególnych kategoriach nadano następujące wagi: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podatki i opłaty lokalne (waloryzacja od 2018 o 100% inflacji,);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udział w podatkach centralnych ( indeksacja o 90%PKB)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subwencje (indeksacja o 90% inflacji)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dotacje (90% inflacji)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pozostałe dochody (90% inflacji).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Dochody o charakterze majątkowym prognozowano tylko do terminów, które umożliwiły racjonalne przewidzenie kształtowania się wpływów z tych kategorii. Uzyskane w powyższy sposób wartości dochodów zsumowano w kategorie dochodów bieżących i majątkowych a następnie dochodów ogółem. Zestawienie ogólnych kwot przedstawiono w załączniku Nr 1.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>3.Prognoza wydatków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Podobnie jak dochody, wydatki podzielono przy prognozowaniu na kategorie wydatków bieżących i wydatków majątkowych. Wydatki bieżące dodatkowo podzielone zostały na poszczególne działy klasyfikacji budżetowej, a wśród nich wyodrębniono wydatki z tytułu wynagrodzeń, pochodnych od wynagrodzeń i pozostałych wydatków bieżących. Ponadto w dziale 757 wyodrębniono wydatki związane z obsługą zadłużenia oraz z tytułu potencjalnych spłat poręczeń i </w:t>
      </w:r>
      <w:r w:rsidRPr="007801D7">
        <w:rPr>
          <w:rFonts w:ascii="Arial" w:hAnsi="Arial" w:cs="Arial"/>
          <w:sz w:val="29"/>
          <w:szCs w:val="29"/>
        </w:rPr>
        <w:lastRenderedPageBreak/>
        <w:t xml:space="preserve">gwarancji. W dziale 750 dodatkowo wyodrębniono kategorię wydatków związanych z funkcjonowaniem organów JST.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Zgodnie z założeniami przyjętymi przy prognozie dochodów, dla wydatków bieżących w roku 2019 przyjęto projekt budżetu. W latach 2020-2028 dokonano indeksacji o wagi wskaźników inflacji oraz PKB.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Po analizie budżetów historycznych z lat 2017-2019 przyznano następujące wagi dla najistotniejszych kategorii: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wynagrodzenia i pochodne (indeksacja o 100% PKB w dziale 750 –administracja publiczna oraz indeksacja o 100% inflacji w dziale 801 – oświata i wychowanie.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W pozostałych działach indeksowano o 80% inflacji. </w:t>
      </w: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7801D7">
        <w:rPr>
          <w:rFonts w:ascii="Arial" w:hAnsi="Arial" w:cs="Arial"/>
          <w:sz w:val="29"/>
          <w:szCs w:val="29"/>
        </w:rPr>
        <w:t xml:space="preserve">- pozostałe bieżące (indeksacja w zależności od kształtowania się w latach poprzednich dla poszczególnych działów od 50% inflacji do 100% inflacji). </w:t>
      </w:r>
    </w:p>
    <w:p w:rsidR="007801D7" w:rsidRPr="007801D7" w:rsidRDefault="007801D7" w:rsidP="0078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01D7" w:rsidRPr="007801D7" w:rsidRDefault="007801D7" w:rsidP="007801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:rsidR="007801D7" w:rsidRPr="007801D7" w:rsidRDefault="007801D7" w:rsidP="0078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01D7" w:rsidRPr="007801D7" w:rsidRDefault="007801D7" w:rsidP="00780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07486" w:rsidRDefault="00407486"/>
    <w:sectPr w:rsidR="00407486" w:rsidSect="000001C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D7"/>
    <w:rsid w:val="00407486"/>
    <w:rsid w:val="004108C1"/>
    <w:rsid w:val="007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2</cp:revision>
  <dcterms:created xsi:type="dcterms:W3CDTF">2019-11-12T08:35:00Z</dcterms:created>
  <dcterms:modified xsi:type="dcterms:W3CDTF">2019-12-20T10:06:00Z</dcterms:modified>
</cp:coreProperties>
</file>