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C512" w14:textId="77777777" w:rsidR="00AE2600" w:rsidRPr="00AE2600" w:rsidRDefault="00AE2600" w:rsidP="00AE2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600">
        <w:rPr>
          <w:rFonts w:ascii="Times New Roman" w:hAnsi="Times New Roman" w:cs="Times New Roman"/>
          <w:sz w:val="24"/>
          <w:szCs w:val="24"/>
        </w:rPr>
        <w:t xml:space="preserve">      UZASADNIENIE </w:t>
      </w:r>
    </w:p>
    <w:p w14:paraId="5A23058D" w14:textId="77777777" w:rsidR="00AE2600" w:rsidRPr="00AE2600" w:rsidRDefault="00AE2600" w:rsidP="00AE2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8CD0A" w14:textId="40BCDAAB" w:rsidR="00AE2600" w:rsidRPr="00AE2600" w:rsidRDefault="00AE2600" w:rsidP="00AE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00">
        <w:rPr>
          <w:rFonts w:ascii="Times New Roman" w:hAnsi="Times New Roman" w:cs="Times New Roman"/>
          <w:sz w:val="24"/>
          <w:szCs w:val="24"/>
        </w:rPr>
        <w:t xml:space="preserve"> Dokonano zmiany Wieloletniej Prognozy Finansowej na lata 2021-2028 w związku z wprowadzeniem do budżetu planowanej inwestycji po przetargu, która ma być realizowana ze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E2600">
        <w:rPr>
          <w:rFonts w:ascii="Times New Roman" w:hAnsi="Times New Roman" w:cs="Times New Roman"/>
          <w:sz w:val="24"/>
          <w:szCs w:val="24"/>
        </w:rPr>
        <w:t>rodków RFIL oraz zaci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E2600"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E2600">
        <w:rPr>
          <w:rFonts w:ascii="Times New Roman" w:hAnsi="Times New Roman" w:cs="Times New Roman"/>
          <w:sz w:val="24"/>
          <w:szCs w:val="24"/>
        </w:rPr>
        <w:t xml:space="preserve">tego kredytu bankowego. W związku z terminami spłat rat kredytu wydłużono okres na jaki uchwalona jest Wieloletnia Prognoza Finansowa do roku 2031. </w:t>
      </w:r>
    </w:p>
    <w:p w14:paraId="5CFEB1CD" w14:textId="77777777" w:rsidR="00AE2600" w:rsidRPr="00AE2600" w:rsidRDefault="00AE2600" w:rsidP="00AE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00">
        <w:rPr>
          <w:rFonts w:ascii="Times New Roman" w:hAnsi="Times New Roman" w:cs="Times New Roman"/>
          <w:sz w:val="24"/>
          <w:szCs w:val="24"/>
        </w:rPr>
        <w:t>Zmianie uległy również plany dochodów i wydatków po wprowadzeniu zmian w budżecie gminy.</w:t>
      </w:r>
    </w:p>
    <w:p w14:paraId="31F7F604" w14:textId="1654E2CA" w:rsidR="00AE2600" w:rsidRPr="00AE2600" w:rsidRDefault="00AE2600" w:rsidP="00AE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00">
        <w:rPr>
          <w:rFonts w:ascii="Times New Roman" w:hAnsi="Times New Roman" w:cs="Times New Roman"/>
          <w:sz w:val="24"/>
          <w:szCs w:val="24"/>
        </w:rPr>
        <w:t>Ogółem zwiększono plan dochodów o kwotę 620.514,69 zł., w tym: dochody inwestycyjne o kwotę 492.942,24 zł. i dochody bieżące o kwotę 127.572,45 zł. Ogółem zwiększono plan wydatków o kwotę 671.063,72 zł., w tym: wydatki inwestycyjne o kwotę 220.215,27 zł. i wydatki bieżące o kwotę 450.848,45 zł. Zmniejsza się deficyt o kwotę 50.549,03 zł. Zwiększa się plan rozchodów o kwotę 449.450,97 zł. i zwi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E2600">
        <w:rPr>
          <w:rFonts w:ascii="Times New Roman" w:hAnsi="Times New Roman" w:cs="Times New Roman"/>
          <w:sz w:val="24"/>
          <w:szCs w:val="24"/>
        </w:rPr>
        <w:t>ksza się plan przychodów o kwotę 500.000,00 zł.</w:t>
      </w:r>
    </w:p>
    <w:p w14:paraId="10A5CA8D" w14:textId="77777777" w:rsidR="00AE2600" w:rsidRPr="00AE2600" w:rsidRDefault="00AE2600" w:rsidP="00AE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B5B9" w14:textId="77777777" w:rsidR="000F5FE2" w:rsidRDefault="000F5FE2"/>
    <w:sectPr w:rsidR="000F5FE2" w:rsidSect="007F1F5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0"/>
    <w:rsid w:val="000F5FE2"/>
    <w:rsid w:val="00A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B210"/>
  <w15:chartTrackingRefBased/>
  <w15:docId w15:val="{A223082E-4AED-4581-9103-D10ACD77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2021-09-26T16:43:00Z</dcterms:created>
  <dcterms:modified xsi:type="dcterms:W3CDTF">2021-09-26T16:44:00Z</dcterms:modified>
</cp:coreProperties>
</file>