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B5BF" w14:textId="66126059" w:rsid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2022/BZP 00391039/01</w:t>
      </w:r>
    </w:p>
    <w:p w14:paraId="6A071424" w14:textId="77777777" w:rsidR="00072CEB" w:rsidRPr="00072CEB" w:rsidRDefault="00072CEB" w:rsidP="00072CEB">
      <w:pPr>
        <w:spacing w:after="0" w:line="240" w:lineRule="auto"/>
        <w:rPr>
          <w:rFonts w:eastAsia="Times New Roman" w:cstheme="minorHAnsi"/>
          <w:lang w:eastAsia="pl-PL"/>
        </w:rPr>
      </w:pPr>
    </w:p>
    <w:p w14:paraId="41C38A3B" w14:textId="77777777" w:rsidR="00072CEB" w:rsidRPr="00072CEB" w:rsidRDefault="00072CEB" w:rsidP="00072CEB">
      <w:pPr>
        <w:spacing w:after="0" w:line="240" w:lineRule="auto"/>
        <w:outlineLvl w:val="0"/>
        <w:rPr>
          <w:rFonts w:eastAsia="Times New Roman" w:cstheme="minorHAnsi"/>
          <w:b/>
          <w:bCs/>
          <w:kern w:val="36"/>
          <w:lang w:eastAsia="pl-PL"/>
        </w:rPr>
      </w:pPr>
      <w:r w:rsidRPr="00072CEB">
        <w:rPr>
          <w:rFonts w:eastAsia="Times New Roman" w:cstheme="minorHAnsi"/>
          <w:b/>
          <w:bCs/>
          <w:kern w:val="36"/>
          <w:lang w:eastAsia="pl-PL"/>
        </w:rPr>
        <w:t>Dostawa oleju opałowego do kotłowni olejowych znajdujących się w budynkach komunalnych w Dubeninkach i budynku Gminnego Centrum Kultury</w:t>
      </w:r>
    </w:p>
    <w:p w14:paraId="059AC3B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Ogłoszenie o zamówieniu z dnia 13.10.2022</w:t>
      </w:r>
    </w:p>
    <w:p w14:paraId="1D521101" w14:textId="77777777" w:rsidR="00072CEB" w:rsidRPr="00072CEB" w:rsidRDefault="00072CEB" w:rsidP="00072CEB">
      <w:pPr>
        <w:spacing w:after="0" w:line="240" w:lineRule="auto"/>
        <w:outlineLvl w:val="0"/>
        <w:rPr>
          <w:rFonts w:eastAsia="Times New Roman" w:cstheme="minorHAnsi"/>
          <w:b/>
          <w:bCs/>
          <w:kern w:val="36"/>
          <w:lang w:eastAsia="pl-PL"/>
        </w:rPr>
      </w:pPr>
      <w:r w:rsidRPr="00072CEB">
        <w:rPr>
          <w:rFonts w:eastAsia="Times New Roman" w:cstheme="minorHAnsi"/>
          <w:b/>
          <w:bCs/>
          <w:kern w:val="36"/>
          <w:lang w:eastAsia="pl-PL"/>
        </w:rPr>
        <w:t>Ogłoszenie o zamówieniu</w:t>
      </w:r>
      <w:r w:rsidRPr="00072CEB">
        <w:rPr>
          <w:rFonts w:eastAsia="Times New Roman" w:cstheme="minorHAnsi"/>
          <w:b/>
          <w:bCs/>
          <w:kern w:val="36"/>
          <w:lang w:eastAsia="pl-PL"/>
        </w:rPr>
        <w:br/>
        <w:t>Dostawy</w:t>
      </w:r>
      <w:r w:rsidRPr="00072CEB">
        <w:rPr>
          <w:rFonts w:eastAsia="Times New Roman" w:cstheme="minorHAnsi"/>
          <w:b/>
          <w:bCs/>
          <w:kern w:val="36"/>
          <w:lang w:eastAsia="pl-PL"/>
        </w:rPr>
        <w:br/>
        <w:t xml:space="preserve">Dostawa oleju opałowego do kotłowni olejowych znajdujących się w budynkach komunalnych w Dubeninkach i budynku Gminnego Centrum Kultury </w:t>
      </w:r>
    </w:p>
    <w:p w14:paraId="70631393"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I - ZAMAWIAJĄCY</w:t>
      </w:r>
    </w:p>
    <w:p w14:paraId="23F2E1CB"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1.1.) Rola zamawiającego</w:t>
      </w:r>
    </w:p>
    <w:p w14:paraId="37CCF819"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Postępowanie prowadzone jest samodzielnie przez zamawiającego</w:t>
      </w:r>
    </w:p>
    <w:p w14:paraId="4D569845"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1.2.) Nazwa zamawiającego: Gmina Dubeninki</w:t>
      </w:r>
    </w:p>
    <w:p w14:paraId="0E1C69F5"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1.4) Krajowy Numer Identyfikacyjny: REGON 790671219</w:t>
      </w:r>
    </w:p>
    <w:p w14:paraId="73199C24"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1.5) Adres zamawiającego </w:t>
      </w:r>
    </w:p>
    <w:p w14:paraId="3887FD80"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1.5.1.) Ulica: Dębowa 27</w:t>
      </w:r>
    </w:p>
    <w:p w14:paraId="5414EB0B"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1.5.2.) Miejscowość: Gołdap</w:t>
      </w:r>
    </w:p>
    <w:p w14:paraId="4189F324"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1.5.3.) Kod pocztowy: 19-504</w:t>
      </w:r>
    </w:p>
    <w:p w14:paraId="6441865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1.5.4.) Województwo: warmińsko-mazurskie</w:t>
      </w:r>
    </w:p>
    <w:p w14:paraId="40CC9944"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1.5.5.) Kraj: Polska</w:t>
      </w:r>
    </w:p>
    <w:p w14:paraId="0420ACBC"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1.5.6.) Lokalizacja NUTS 3: PL623 - Ełcki</w:t>
      </w:r>
    </w:p>
    <w:p w14:paraId="748F5267"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1.5.9.) Adres poczty elektronicznej: sekretariat@dubeninki.pl</w:t>
      </w:r>
    </w:p>
    <w:p w14:paraId="39593CC5"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1.5.10.) Adres strony internetowej zamawiającego: www.dubeninki.pl</w:t>
      </w:r>
    </w:p>
    <w:p w14:paraId="2F7D1514"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1.6.) Rodzaj zamawiającego: Zamawiający publiczny - jednostka sektora finansów publicznych - jednostka samorządu terytorialnego </w:t>
      </w:r>
    </w:p>
    <w:p w14:paraId="6C9E6CF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1.7.) Przedmiot działalności zamawiającego: Ogólne usługi publiczne </w:t>
      </w:r>
    </w:p>
    <w:p w14:paraId="14C8261E"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II – INFORMACJE PODSTAWOWE</w:t>
      </w:r>
    </w:p>
    <w:p w14:paraId="5D6AF848"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2.1.) Ogłoszenie dotyczy: </w:t>
      </w:r>
    </w:p>
    <w:p w14:paraId="6BC3C283"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 xml:space="preserve">Zamówienia publicznego </w:t>
      </w:r>
    </w:p>
    <w:p w14:paraId="500A0C0E"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2.2.) Ogłoszenie dotyczy usług społecznych i innych szczególnych usług: Nie</w:t>
      </w:r>
    </w:p>
    <w:p w14:paraId="2C7D67A7"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2.3.) Nazwa zamówienia albo umowy ramowej: </w:t>
      </w:r>
    </w:p>
    <w:p w14:paraId="61FE4117"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 xml:space="preserve">Dostawa oleju opałowego do kotłowni olejowych znajdujących się w budynkach komunalnych w Dubeninkach i budynku Gminnego Centrum Kultury </w:t>
      </w:r>
    </w:p>
    <w:p w14:paraId="7213FDDF"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2.4.) Identyfikator postępowania: ocds-148610-8a276a5b-4add-11ed-9171-f6b7c7d59353</w:t>
      </w:r>
    </w:p>
    <w:p w14:paraId="03FF5125"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2.5.) Numer ogłoszenia: 2022/BZP 00391039/01</w:t>
      </w:r>
    </w:p>
    <w:p w14:paraId="74D8B91A"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2.6.) Wersja ogłoszenia: 01</w:t>
      </w:r>
    </w:p>
    <w:p w14:paraId="39421148"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2.7.) Data ogłoszenia: 2022-10-13 12:26</w:t>
      </w:r>
    </w:p>
    <w:p w14:paraId="369DD44B"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2.8.) Zamówienie albo umowa ramowa zostały ujęte w planie postępowań: Tak</w:t>
      </w:r>
    </w:p>
    <w:p w14:paraId="5FE6129E"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2.9.) Numer planu postępowań w BZP: 2022/BZP 00014089/04/P</w:t>
      </w:r>
    </w:p>
    <w:p w14:paraId="18651B48"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2.10.) Identyfikator pozycji planu postępowań: </w:t>
      </w:r>
    </w:p>
    <w:p w14:paraId="79D45180"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1.2.1 Dostawa oleju opałowego do kotłowni olejowych znajdujących się w budynkach komunalnych w Dubeninkach i budynku Gminnego Centrum Kultury w Dubeninkach</w:t>
      </w:r>
    </w:p>
    <w:p w14:paraId="61478C1E"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2.11.) O udzielenie zamówienia mogą ubiegać się wyłącznie wykonawcy, o których mowa w art. 94 ustawy: Nie</w:t>
      </w:r>
    </w:p>
    <w:p w14:paraId="10D7350A"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2.14.) Czy zamówienie albo umowa ramowa dotyczy projektu lub programu współfinansowanego ze środków Unii Europejskiej: Nie</w:t>
      </w:r>
    </w:p>
    <w:p w14:paraId="2B1A87D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2.16.) Tryb udzielenia zamówienia wraz z podstawą prawną</w:t>
      </w:r>
    </w:p>
    <w:p w14:paraId="33D925D5"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 xml:space="preserve">Zamówienie udzielane jest w trybie podstawowym na podstawie: art. 275 pkt 1 ustawy </w:t>
      </w:r>
    </w:p>
    <w:p w14:paraId="2C8D2C1B"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III – UDOSTĘPNIANIE DOKUMENTÓW ZAMÓWIENIA I KOMUNIKACJA</w:t>
      </w:r>
    </w:p>
    <w:p w14:paraId="3EE1C57A"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3.1.) Adres strony internetowej prowadzonego postępowania</w:t>
      </w:r>
    </w:p>
    <w:p w14:paraId="76619F9A"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 xml:space="preserve">https://e-propublico.pl </w:t>
      </w:r>
    </w:p>
    <w:p w14:paraId="1A34BF53"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3.2.) Zamawiający zastrzega dostęp do dokumentów zamówienia: Nie</w:t>
      </w:r>
    </w:p>
    <w:p w14:paraId="749C87A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lastRenderedPageBreak/>
        <w:t>3.4.) Wykonawcy zobowiązani są do składania ofert, wniosków o dopuszczenie do udziału w postępowaniu, oświadczeń oraz innych dokumentów wyłącznie przy użyciu środków komunikacji elektronicznej: Tak</w:t>
      </w:r>
    </w:p>
    <w:p w14:paraId="340DDE5A"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3.5.) Informacje o środkach komunikacji elektronicznej, przy użyciu których zamawiający będzie komunikował się z wykonawcami - adres strony internetowej: https://e-propublico.pl</w:t>
      </w:r>
    </w:p>
    <w:p w14:paraId="1317E8C2"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3.6.) Wymagania techniczne i organizacyjne dotyczące korespondencji elektronicznej: Wymagania zostały opisane w punkcie 13 SWZ</w:t>
      </w:r>
    </w:p>
    <w:p w14:paraId="17490796"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3.8.) Zamawiający wymaga sporządzenia i przedstawienia ofert przy użyciu narzędzi elektronicznego modelowania danych budowlanych lub innych podobnych narzędzi, które nie są ogólnie dostępne: Nie</w:t>
      </w:r>
    </w:p>
    <w:p w14:paraId="67B4C64E"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3.12.) Oferta - katalog elektroniczny: Nie dotyczy</w:t>
      </w:r>
    </w:p>
    <w:p w14:paraId="1D287CBF"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3.14.) Języki, w jakich mogą być sporządzane dokumenty składane w postępowaniu: </w:t>
      </w:r>
    </w:p>
    <w:p w14:paraId="35468022"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polski</w:t>
      </w:r>
    </w:p>
    <w:p w14:paraId="6CAE5C89"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IV – PRZEDMIOT ZAMÓWIENIA</w:t>
      </w:r>
    </w:p>
    <w:p w14:paraId="7820D8D8"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 Informacje ogólne odnoszące się do przedmiotu zamówienia.</w:t>
      </w:r>
    </w:p>
    <w:p w14:paraId="1F2BD806"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4.1.1.) Przed wszczęciem postępowania przeprowadzono konsultacje rynkowe: Nie</w:t>
      </w:r>
    </w:p>
    <w:p w14:paraId="700B13E7"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4.1.2.) Numer referencyjny: IGP.271.6.2022</w:t>
      </w:r>
    </w:p>
    <w:p w14:paraId="740767D2"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4.1.3.) Rodzaj zamówienia: Dostawy</w:t>
      </w:r>
    </w:p>
    <w:p w14:paraId="5B26DA80"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4.1.4.) Zamawiający udziela zamówienia w częściach, z których każda stanowi przedmiot odrębnego postępowania: Nie</w:t>
      </w:r>
    </w:p>
    <w:p w14:paraId="7C993A09"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4.1.8.) Możliwe jest składanie ofert częściowych: Nie</w:t>
      </w:r>
    </w:p>
    <w:p w14:paraId="1D546DCC"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4.1.13.) Zamawiający uwzględnia aspekty społeczne, środowiskowe lub etykiety w opisie przedmiotu zamówienia: Nie</w:t>
      </w:r>
    </w:p>
    <w:p w14:paraId="4B04EEC5"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4.2. Informacje szczegółowe odnoszące się do przedmiotu zamówienia:</w:t>
      </w:r>
    </w:p>
    <w:p w14:paraId="1748D63C"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4.2.2.) Krótki opis przedmiotu zamówienia</w:t>
      </w:r>
    </w:p>
    <w:p w14:paraId="604F6707"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 xml:space="preserve">Dostawa oleju opałowego do kotłowni olejowych znajdujących się w budynkach komunalnych w Dubeninkach i budynku Gminnego Centrum Kultury </w:t>
      </w:r>
    </w:p>
    <w:p w14:paraId="61307053"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4.2.6.) Główny kod CPV: 09135100-5 - Olej opałowy</w:t>
      </w:r>
    </w:p>
    <w:p w14:paraId="1A5218D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4.2.8.) Zamówienie obejmuje opcje: Nie</w:t>
      </w:r>
    </w:p>
    <w:p w14:paraId="5A90A1A9"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4.2.10.) Okres realizacji zamówienia albo umowy ramowej: od 2023-01-01 do 2024-12-31</w:t>
      </w:r>
    </w:p>
    <w:p w14:paraId="7996C64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4.2.11.) Zamawiający przewiduje wznowienia: Nie</w:t>
      </w:r>
    </w:p>
    <w:p w14:paraId="2840A11A"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4.3.) Kryteria oceny ofert</w:t>
      </w:r>
    </w:p>
    <w:p w14:paraId="52713517"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4.3.2.) Sposób określania wagi kryteriów oceny ofert: Punktowo </w:t>
      </w:r>
    </w:p>
    <w:p w14:paraId="5C0E9A9B"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4.3.3.) Stosowane kryteria oceny ofert: Kryterium ceny i kosztu </w:t>
      </w:r>
    </w:p>
    <w:p w14:paraId="374E11B0"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Kryterium 1</w:t>
      </w:r>
    </w:p>
    <w:p w14:paraId="49095D8F"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4.3.5.) Nazwa kryterium: Cena</w:t>
      </w:r>
    </w:p>
    <w:p w14:paraId="075721E0"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4.3.6.) Waga: 60</w:t>
      </w:r>
    </w:p>
    <w:p w14:paraId="34BB4992"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Kryterium 2</w:t>
      </w:r>
    </w:p>
    <w:p w14:paraId="10022C8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4.3.5.) Nazwa kryterium: Koszt</w:t>
      </w:r>
    </w:p>
    <w:p w14:paraId="3E73CDC7"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4.3.6.) Waga: 40</w:t>
      </w:r>
    </w:p>
    <w:p w14:paraId="7BAA19B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4.3.10.) Zamawiający określa aspekty społeczne, środowiskowe lub innowacyjne, żąda etykiet lub stosuje rachunek kosztów cyklu życia w odniesieniu do kryterium oceny ofert: Nie</w:t>
      </w:r>
    </w:p>
    <w:p w14:paraId="47AA6EAE"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V - KWALIFIKACJA WYKONAWCÓW</w:t>
      </w:r>
    </w:p>
    <w:p w14:paraId="7064EF56"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5.1.) Zamawiający przewiduje fakultatywne podstawy wykluczenia: Tak</w:t>
      </w:r>
    </w:p>
    <w:p w14:paraId="6B3EA62F"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5.2.) Fakultatywne podstawy wykluczenia: </w:t>
      </w:r>
    </w:p>
    <w:p w14:paraId="5D7A414C"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Art. 109 ust. 1 pkt 4</w:t>
      </w:r>
    </w:p>
    <w:p w14:paraId="3627F3ED"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Art. 109 ust. 1 pkt 5</w:t>
      </w:r>
    </w:p>
    <w:p w14:paraId="35C5937B"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Art. 109 ust. 1 pkt 7</w:t>
      </w:r>
    </w:p>
    <w:p w14:paraId="77B79AFD"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5.3.) Warunki udziału w postępowaniu: Tak</w:t>
      </w:r>
    </w:p>
    <w:p w14:paraId="59C1DCC9"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5.4.) Nazwa i opis warunków udziału w postępowaniu.</w:t>
      </w:r>
    </w:p>
    <w:p w14:paraId="7D3FF50A"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1. Zezwolenie, licencja, koncesja lub wpis do rejestru</w:t>
      </w:r>
      <w:r w:rsidRPr="00072CEB">
        <w:rPr>
          <w:rFonts w:eastAsia="Times New Roman" w:cstheme="minorHAnsi"/>
          <w:lang w:eastAsia="pl-PL"/>
        </w:rPr>
        <w:br/>
        <w:t xml:space="preserve">Zezwolenie, licencja, koncesja lub wpis do rejestru działalności regulowanej potwierdzający </w:t>
      </w:r>
      <w:r w:rsidRPr="00072CEB">
        <w:rPr>
          <w:rFonts w:eastAsia="Times New Roman" w:cstheme="minorHAnsi"/>
          <w:lang w:eastAsia="pl-PL"/>
        </w:rPr>
        <w:lastRenderedPageBreak/>
        <w:t>spełnianie przez Wykonawcę warunków udziału w postępowaniu dotyczących wymaganych uprawnień do prowadzenia określonej działalności gospodarczej lub zawodowej.</w:t>
      </w:r>
      <w:r w:rsidRPr="00072CEB">
        <w:rPr>
          <w:rFonts w:eastAsia="Times New Roman" w:cstheme="minorHAnsi"/>
          <w:lang w:eastAsia="pl-PL"/>
        </w:rPr>
        <w:br/>
        <w:t>2. Oświadczenie na temat zatrudnienia</w:t>
      </w:r>
      <w:r w:rsidRPr="00072CEB">
        <w:rPr>
          <w:rFonts w:eastAsia="Times New Roman" w:cstheme="minorHAnsi"/>
          <w:lang w:eastAsia="pl-PL"/>
        </w:rPr>
        <w:br/>
        <w:t>Oświadczenie na temat wielkości średniego rocznego zatrudnienia u Wykonawcy oraz liczebności kadry kierowniczej w ostatnich 3 latach, a w przypadku gdy okres prowadzenia działalności jest krótszy – w tym okresie.</w:t>
      </w:r>
      <w:r w:rsidRPr="00072CEB">
        <w:rPr>
          <w:rFonts w:eastAsia="Times New Roman" w:cstheme="minorHAnsi"/>
          <w:lang w:eastAsia="pl-PL"/>
        </w:rPr>
        <w:br/>
        <w:t>3. Wykaz dostaw lub usług</w:t>
      </w:r>
      <w:r w:rsidRPr="00072CEB">
        <w:rPr>
          <w:rFonts w:eastAsia="Times New Roman" w:cstheme="minorHAnsi"/>
          <w:lang w:eastAsia="pl-PL"/>
        </w:rPr>
        <w:b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 </w:t>
      </w:r>
    </w:p>
    <w:p w14:paraId="19A881A9"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5.5.) Zamawiający wymaga złożenia oświadczenia, o którym mowa w art.125 ust. 1 ustawy: Tak</w:t>
      </w:r>
    </w:p>
    <w:p w14:paraId="70830223"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VI - WARUNKI ZAMÓWIENIA</w:t>
      </w:r>
    </w:p>
    <w:p w14:paraId="6CF5FF6F"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6.1.) Zamawiający wymaga albo dopuszcza oferty wariantowe: Nie</w:t>
      </w:r>
    </w:p>
    <w:p w14:paraId="345535F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6.3.) Zamawiający przewiduje aukcję elektroniczną: Nie</w:t>
      </w:r>
    </w:p>
    <w:p w14:paraId="440338B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6.4.) Zamawiający wymaga wadium: Nie</w:t>
      </w:r>
    </w:p>
    <w:p w14:paraId="4AA2A57B"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6.5.) Zamawiający wymaga zabezpieczenia należytego wykonania umowy: Nie</w:t>
      </w:r>
    </w:p>
    <w:p w14:paraId="5CB34EF3"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6.7.) Zamawiający przewiduje unieważnienie postępowania, jeśli środki publiczne, które zamierzał przeznaczyć na sfinansowanie całości lub części zamówienia nie zostały przyznane: Nie</w:t>
      </w:r>
    </w:p>
    <w:p w14:paraId="65E8B65D"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VII - PROJEKTOWANE POSTANOWIENIA UMOWY</w:t>
      </w:r>
    </w:p>
    <w:p w14:paraId="2BA8F1D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7.1.) Zamawiający przewiduje udzielenia zaliczek: Nie</w:t>
      </w:r>
    </w:p>
    <w:p w14:paraId="0B51A536"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7.3.) Zamawiający przewiduje zmiany umowy: Tak</w:t>
      </w:r>
    </w:p>
    <w:p w14:paraId="563BCAA1"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 xml:space="preserve">7.4.) Rodzaj i zakres zmian umowy oraz warunki ich wprowadzenia: </w:t>
      </w:r>
    </w:p>
    <w:p w14:paraId="4ED95D4D" w14:textId="77777777" w:rsidR="00072CEB" w:rsidRPr="00072CEB" w:rsidRDefault="00072CEB" w:rsidP="00072CEB">
      <w:pPr>
        <w:spacing w:after="0" w:line="240" w:lineRule="auto"/>
        <w:rPr>
          <w:rFonts w:eastAsia="Times New Roman" w:cstheme="minorHAnsi"/>
          <w:lang w:eastAsia="pl-PL"/>
        </w:rPr>
      </w:pPr>
      <w:r w:rsidRPr="00072CEB">
        <w:rPr>
          <w:rFonts w:eastAsia="Times New Roman" w:cstheme="minorHAnsi"/>
          <w:lang w:eastAsia="pl-PL"/>
        </w:rPr>
        <w:t>Zamawiający przewiduje możliwość zmiany postanowień niniejszej umowy w przypadku nie możliwej do przewidzenia zmiany:</w:t>
      </w:r>
      <w:r w:rsidRPr="00072CEB">
        <w:rPr>
          <w:rFonts w:eastAsia="Times New Roman" w:cstheme="minorHAnsi"/>
          <w:lang w:eastAsia="pl-PL"/>
        </w:rPr>
        <w:br/>
        <w:t>1) stawki podatku od towarów i usług oraz podatku akcyzowego,</w:t>
      </w:r>
      <w:r w:rsidRPr="00072CEB">
        <w:rPr>
          <w:rFonts w:eastAsia="Times New Roman" w:cstheme="minorHAnsi"/>
          <w:lang w:eastAsia="pl-PL"/>
        </w:rPr>
        <w:br/>
        <w:t>2) wysokości minimalnego wynagrodzenia za pracę albo wysokości minimalnej stawki godzinowej, ustalonych na podstawie ustawy z dnia 10 października 2002 r. o minimalnym wynagrodzeniu za pracę,</w:t>
      </w:r>
      <w:r w:rsidRPr="00072CEB">
        <w:rPr>
          <w:rFonts w:eastAsia="Times New Roman" w:cstheme="minorHAnsi"/>
          <w:lang w:eastAsia="pl-PL"/>
        </w:rPr>
        <w:br/>
        <w:t>3) zasad podlegania ubezpieczeniom społecznym lub ubezpieczeniu zdrowotnemu lub wysokości stawki składki na ubezpieczenia społeczne lub ubezpieczenie zdrowotne,</w:t>
      </w:r>
      <w:r w:rsidRPr="00072CEB">
        <w:rPr>
          <w:rFonts w:eastAsia="Times New Roman" w:cstheme="minorHAnsi"/>
          <w:lang w:eastAsia="pl-PL"/>
        </w:rPr>
        <w:br/>
        <w:t>4) zasad gromadzenia i wysokości wpłat do pracowniczych planów kapitałowych, o których mowa w ustawie z dnia 4 października 2018 r. o pracowniczych planach kapitałowych (</w:t>
      </w:r>
      <w:proofErr w:type="spellStart"/>
      <w:r w:rsidRPr="00072CEB">
        <w:rPr>
          <w:rFonts w:eastAsia="Times New Roman" w:cstheme="minorHAnsi"/>
          <w:lang w:eastAsia="pl-PL"/>
        </w:rPr>
        <w:t>t.j</w:t>
      </w:r>
      <w:proofErr w:type="spellEnd"/>
      <w:r w:rsidRPr="00072CEB">
        <w:rPr>
          <w:rFonts w:eastAsia="Times New Roman" w:cstheme="minorHAnsi"/>
          <w:lang w:eastAsia="pl-PL"/>
        </w:rPr>
        <w:t>.: Dz. U. z 2020 r. poz. 1342 ze zm.)</w:t>
      </w:r>
      <w:r w:rsidRPr="00072CEB">
        <w:rPr>
          <w:rFonts w:eastAsia="Times New Roman" w:cstheme="minorHAnsi"/>
          <w:lang w:eastAsia="pl-PL"/>
        </w:rPr>
        <w:br/>
        <w:t xml:space="preserve">3. Zamawiający przewiduje waloryzację ceny jednostkowej o której mowa w § 3 ust. 2, stanowiącej podstawę naliczania wynagrodzenia należnego Wykonawcy, raz w roku w oparciu o średnioroczny wskaźnik cen towarów i usług konsumpcyjnych ogłoszony w komunikacie Prezesa Głównego Urzędu Statystycznego za ostatni rok, przy czym pierwsza waloryzacja może nastąpić po upływie 12 miesięcy od momentu rozpoczęcia realizacji usługi objętej niniejsza umową przy czym Wykonawca musi przedstawić dokumenty poświadczające o wzroście kosztów mających wpływ na wzrost kosztów </w:t>
      </w:r>
      <w:r w:rsidRPr="00072CEB">
        <w:rPr>
          <w:rFonts w:eastAsia="Times New Roman" w:cstheme="minorHAnsi"/>
          <w:lang w:eastAsia="pl-PL"/>
        </w:rPr>
        <w:lastRenderedPageBreak/>
        <w:t xml:space="preserve">realizacji przedmiotu zamówienia. Waloryzacja nastąpi na pisemny wniosek Wykonawcy na podstawie aneksu do umowy i będzie miała zastosowanie od chwili podpisania aneksu. </w:t>
      </w:r>
    </w:p>
    <w:p w14:paraId="03DD3283"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7.5.) Zamawiający uwzględnił aspekty społeczne, środowiskowe, innowacyjne lub etykiety związane z realizacją zamówienia: Nie</w:t>
      </w:r>
    </w:p>
    <w:p w14:paraId="57E76F68" w14:textId="77777777" w:rsidR="00072CEB" w:rsidRPr="00072CEB" w:rsidRDefault="00072CEB" w:rsidP="00072CEB">
      <w:pPr>
        <w:spacing w:after="0" w:line="240" w:lineRule="auto"/>
        <w:outlineLvl w:val="1"/>
        <w:rPr>
          <w:rFonts w:eastAsia="Times New Roman" w:cstheme="minorHAnsi"/>
          <w:b/>
          <w:bCs/>
          <w:lang w:eastAsia="pl-PL"/>
        </w:rPr>
      </w:pPr>
      <w:r w:rsidRPr="00072CEB">
        <w:rPr>
          <w:rFonts w:eastAsia="Times New Roman" w:cstheme="minorHAnsi"/>
          <w:b/>
          <w:bCs/>
          <w:lang w:eastAsia="pl-PL"/>
        </w:rPr>
        <w:t>SEKCJA VIII – PROCEDURA</w:t>
      </w:r>
    </w:p>
    <w:p w14:paraId="64A9BBE0"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8.1.) Termin składania ofert: 2022-10-24 10:00</w:t>
      </w:r>
    </w:p>
    <w:p w14:paraId="5E996B12"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8.2.) Miejsce składania ofert: https://e-propublico.pl</w:t>
      </w:r>
    </w:p>
    <w:p w14:paraId="3EAD848E"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8.3.) Termin otwarcia ofert: 2022-10-24 10:15</w:t>
      </w:r>
    </w:p>
    <w:p w14:paraId="21C30E75" w14:textId="77777777" w:rsidR="00072CEB" w:rsidRPr="00072CEB" w:rsidRDefault="00072CEB" w:rsidP="00072CEB">
      <w:pPr>
        <w:spacing w:after="0" w:line="240" w:lineRule="auto"/>
        <w:outlineLvl w:val="2"/>
        <w:rPr>
          <w:rFonts w:eastAsia="Times New Roman" w:cstheme="minorHAnsi"/>
          <w:b/>
          <w:bCs/>
          <w:lang w:eastAsia="pl-PL"/>
        </w:rPr>
      </w:pPr>
      <w:r w:rsidRPr="00072CEB">
        <w:rPr>
          <w:rFonts w:eastAsia="Times New Roman" w:cstheme="minorHAnsi"/>
          <w:b/>
          <w:bCs/>
          <w:lang w:eastAsia="pl-PL"/>
        </w:rPr>
        <w:t>8.4.) Termin związania ofertą: do 2022-11-22</w:t>
      </w:r>
    </w:p>
    <w:p w14:paraId="3ED4E855" w14:textId="77777777" w:rsidR="00072CEB" w:rsidRPr="00072CEB" w:rsidRDefault="00072CEB" w:rsidP="00072CEB">
      <w:pPr>
        <w:spacing w:after="0" w:line="240" w:lineRule="auto"/>
        <w:rPr>
          <w:rFonts w:cstheme="minorHAnsi"/>
        </w:rPr>
      </w:pPr>
    </w:p>
    <w:p w14:paraId="04E5779B" w14:textId="77777777" w:rsidR="00072CEB" w:rsidRPr="00072CEB" w:rsidRDefault="00072CEB" w:rsidP="00072CEB">
      <w:pPr>
        <w:spacing w:after="0" w:line="240" w:lineRule="auto"/>
        <w:rPr>
          <w:rFonts w:cstheme="minorHAnsi"/>
        </w:rPr>
      </w:pPr>
    </w:p>
    <w:sectPr w:rsidR="00072CEB" w:rsidRPr="00072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EB"/>
    <w:rsid w:val="00072C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6AD9"/>
  <w15:chartTrackingRefBased/>
  <w15:docId w15:val="{C8CCD1F6-0455-4D5A-878D-4EFFA848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35726">
      <w:bodyDiv w:val="1"/>
      <w:marLeft w:val="0"/>
      <w:marRight w:val="0"/>
      <w:marTop w:val="0"/>
      <w:marBottom w:val="0"/>
      <w:divBdr>
        <w:top w:val="none" w:sz="0" w:space="0" w:color="auto"/>
        <w:left w:val="none" w:sz="0" w:space="0" w:color="auto"/>
        <w:bottom w:val="none" w:sz="0" w:space="0" w:color="auto"/>
        <w:right w:val="none" w:sz="0" w:space="0" w:color="auto"/>
      </w:divBdr>
      <w:divsChild>
        <w:div w:id="490172199">
          <w:marLeft w:val="0"/>
          <w:marRight w:val="0"/>
          <w:marTop w:val="0"/>
          <w:marBottom w:val="0"/>
          <w:divBdr>
            <w:top w:val="none" w:sz="0" w:space="0" w:color="auto"/>
            <w:left w:val="none" w:sz="0" w:space="0" w:color="auto"/>
            <w:bottom w:val="none" w:sz="0" w:space="0" w:color="auto"/>
            <w:right w:val="none" w:sz="0" w:space="0" w:color="auto"/>
          </w:divBdr>
          <w:divsChild>
            <w:div w:id="640622254">
              <w:marLeft w:val="0"/>
              <w:marRight w:val="0"/>
              <w:marTop w:val="0"/>
              <w:marBottom w:val="0"/>
              <w:divBdr>
                <w:top w:val="none" w:sz="0" w:space="0" w:color="auto"/>
                <w:left w:val="none" w:sz="0" w:space="0" w:color="auto"/>
                <w:bottom w:val="none" w:sz="0" w:space="0" w:color="auto"/>
                <w:right w:val="none" w:sz="0" w:space="0" w:color="auto"/>
              </w:divBdr>
              <w:divsChild>
                <w:div w:id="2093354469">
                  <w:marLeft w:val="0"/>
                  <w:marRight w:val="0"/>
                  <w:marTop w:val="0"/>
                  <w:marBottom w:val="0"/>
                  <w:divBdr>
                    <w:top w:val="none" w:sz="0" w:space="0" w:color="auto"/>
                    <w:left w:val="none" w:sz="0" w:space="0" w:color="auto"/>
                    <w:bottom w:val="none" w:sz="0" w:space="0" w:color="auto"/>
                    <w:right w:val="none" w:sz="0" w:space="0" w:color="auto"/>
                  </w:divBdr>
                  <w:divsChild>
                    <w:div w:id="2038003100">
                      <w:marLeft w:val="0"/>
                      <w:marRight w:val="0"/>
                      <w:marTop w:val="0"/>
                      <w:marBottom w:val="0"/>
                      <w:divBdr>
                        <w:top w:val="none" w:sz="0" w:space="0" w:color="auto"/>
                        <w:left w:val="none" w:sz="0" w:space="0" w:color="auto"/>
                        <w:bottom w:val="none" w:sz="0" w:space="0" w:color="auto"/>
                        <w:right w:val="none" w:sz="0" w:space="0" w:color="auto"/>
                      </w:divBdr>
                      <w:divsChild>
                        <w:div w:id="1448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52166">
          <w:marLeft w:val="0"/>
          <w:marRight w:val="0"/>
          <w:marTop w:val="0"/>
          <w:marBottom w:val="0"/>
          <w:divBdr>
            <w:top w:val="none" w:sz="0" w:space="0" w:color="auto"/>
            <w:left w:val="none" w:sz="0" w:space="0" w:color="auto"/>
            <w:bottom w:val="none" w:sz="0" w:space="0" w:color="auto"/>
            <w:right w:val="none" w:sz="0" w:space="0" w:color="auto"/>
          </w:divBdr>
          <w:divsChild>
            <w:div w:id="1365447285">
              <w:marLeft w:val="0"/>
              <w:marRight w:val="0"/>
              <w:marTop w:val="0"/>
              <w:marBottom w:val="0"/>
              <w:divBdr>
                <w:top w:val="none" w:sz="0" w:space="0" w:color="auto"/>
                <w:left w:val="none" w:sz="0" w:space="0" w:color="auto"/>
                <w:bottom w:val="none" w:sz="0" w:space="0" w:color="auto"/>
                <w:right w:val="none" w:sz="0" w:space="0" w:color="auto"/>
              </w:divBdr>
            </w:div>
          </w:divsChild>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1967078431">
              <w:marLeft w:val="0"/>
              <w:marRight w:val="0"/>
              <w:marTop w:val="0"/>
              <w:marBottom w:val="0"/>
              <w:divBdr>
                <w:top w:val="none" w:sz="0" w:space="0" w:color="auto"/>
                <w:left w:val="none" w:sz="0" w:space="0" w:color="auto"/>
                <w:bottom w:val="none" w:sz="0" w:space="0" w:color="auto"/>
                <w:right w:val="none" w:sz="0" w:space="0" w:color="auto"/>
              </w:divBdr>
              <w:divsChild>
                <w:div w:id="328169640">
                  <w:marLeft w:val="0"/>
                  <w:marRight w:val="0"/>
                  <w:marTop w:val="0"/>
                  <w:marBottom w:val="0"/>
                  <w:divBdr>
                    <w:top w:val="none" w:sz="0" w:space="0" w:color="auto"/>
                    <w:left w:val="none" w:sz="0" w:space="0" w:color="auto"/>
                    <w:bottom w:val="none" w:sz="0" w:space="0" w:color="auto"/>
                    <w:right w:val="none" w:sz="0" w:space="0" w:color="auto"/>
                  </w:divBdr>
                  <w:divsChild>
                    <w:div w:id="391199939">
                      <w:marLeft w:val="0"/>
                      <w:marRight w:val="0"/>
                      <w:marTop w:val="0"/>
                      <w:marBottom w:val="0"/>
                      <w:divBdr>
                        <w:top w:val="none" w:sz="0" w:space="0" w:color="auto"/>
                        <w:left w:val="none" w:sz="0" w:space="0" w:color="auto"/>
                        <w:bottom w:val="none" w:sz="0" w:space="0" w:color="auto"/>
                        <w:right w:val="none" w:sz="0" w:space="0" w:color="auto"/>
                      </w:divBdr>
                      <w:divsChild>
                        <w:div w:id="1992250298">
                          <w:marLeft w:val="0"/>
                          <w:marRight w:val="0"/>
                          <w:marTop w:val="0"/>
                          <w:marBottom w:val="0"/>
                          <w:divBdr>
                            <w:top w:val="none" w:sz="0" w:space="0" w:color="auto"/>
                            <w:left w:val="none" w:sz="0" w:space="0" w:color="auto"/>
                            <w:bottom w:val="none" w:sz="0" w:space="0" w:color="auto"/>
                            <w:right w:val="none" w:sz="0" w:space="0" w:color="auto"/>
                          </w:divBdr>
                        </w:div>
                      </w:divsChild>
                    </w:div>
                    <w:div w:id="1181311971">
                      <w:marLeft w:val="0"/>
                      <w:marRight w:val="0"/>
                      <w:marTop w:val="0"/>
                      <w:marBottom w:val="0"/>
                      <w:divBdr>
                        <w:top w:val="none" w:sz="0" w:space="0" w:color="auto"/>
                        <w:left w:val="none" w:sz="0" w:space="0" w:color="auto"/>
                        <w:bottom w:val="none" w:sz="0" w:space="0" w:color="auto"/>
                        <w:right w:val="none" w:sz="0" w:space="0" w:color="auto"/>
                      </w:divBdr>
                      <w:divsChild>
                        <w:div w:id="342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8272</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IGP1</dc:creator>
  <cp:keywords/>
  <dc:description/>
  <cp:lastModifiedBy>IGP1</cp:lastModifiedBy>
  <cp:revision>1</cp:revision>
  <dcterms:created xsi:type="dcterms:W3CDTF">2022-10-13T10:29:00Z</dcterms:created>
  <dcterms:modified xsi:type="dcterms:W3CDTF">2022-10-13T10:30:00Z</dcterms:modified>
</cp:coreProperties>
</file>