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221C" w14:textId="6FA5BAD7" w:rsidR="008C5223" w:rsidRPr="00642CFB" w:rsidRDefault="008C5223" w:rsidP="00642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XXXIII/</w:t>
      </w:r>
      <w:r w:rsidR="00552695"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75/23</w:t>
      </w:r>
    </w:p>
    <w:p w14:paraId="6B736F26" w14:textId="77777777" w:rsidR="008C5223" w:rsidRPr="00642CFB" w:rsidRDefault="008C5223" w:rsidP="00642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467C030F" w14:textId="77777777" w:rsidR="008C5223" w:rsidRPr="00642CFB" w:rsidRDefault="008C5223" w:rsidP="00642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29 czerwca 2023 r.</w:t>
      </w:r>
    </w:p>
    <w:p w14:paraId="1E8E32D7" w14:textId="77777777" w:rsidR="008C5223" w:rsidRPr="00642CFB" w:rsidRDefault="008C5223" w:rsidP="008C52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0411428" w14:textId="77777777" w:rsidR="008C5223" w:rsidRPr="00642CFB" w:rsidRDefault="008C5223" w:rsidP="00642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2023 rok.</w:t>
      </w:r>
    </w:p>
    <w:p w14:paraId="6BAF2941" w14:textId="77777777" w:rsidR="008C5223" w:rsidRPr="00642CFB" w:rsidRDefault="008C5223" w:rsidP="008C522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39CEA3F1" w14:textId="638398DE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 4 ustawy z dnia 8 marca 1990 r. o samorządzie gminnym (Dz. U. z 2023 r. poz. 40 z późn. zm.) oraz art. 211, art. 212, art. 236, art. 242, art. 243 ustawy z dnia 27 sierpnia 2009 r. o finansach publicznych (Dz. U. z 2022 r., poz. 1634 z </w:t>
      </w:r>
      <w:proofErr w:type="spellStart"/>
      <w:r w:rsidRPr="00642CFB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642CFB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47741BCF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4C5BA413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1.Zwiększa się wydatki o kwotę – 671.806,20 zł.</w:t>
      </w:r>
    </w:p>
    <w:p w14:paraId="72B23881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w tym: wydatki majątkowe o kwotę – 120.000,00 zł.</w:t>
      </w:r>
    </w:p>
    <w:p w14:paraId="3A2E9145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wydatki bieżące o kwotę – 551.806,20 zł.</w:t>
      </w:r>
    </w:p>
    <w:p w14:paraId="2787C6D4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2. Zmniejsza się wydatki o kwotę – 82.206,20 zł.</w:t>
      </w:r>
    </w:p>
    <w:p w14:paraId="1EE386CA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w tym: wydatki bieżące o kwotę – 82.206,20 zł.</w:t>
      </w:r>
    </w:p>
    <w:p w14:paraId="19B6A9B5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0F9952AF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2.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2023 r.", zgodnie z załącznikiem Nr 2 do niniejszej uchwały.</w:t>
      </w:r>
    </w:p>
    <w:p w14:paraId="0805B375" w14:textId="4AAA8E4E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Planuje się deficyt budżetu gminy w wysokości 3.597.401,68 zł., który zostanie pokryty kredytem w wysokości 500.000,00 zł.,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</w:t>
      </w:r>
      <w:r w:rsidR="0009573F" w:rsidRPr="00642CFB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w art. 5 ust. 1 pkt 2 (ustawy o finansach publicznych) i dotacji na realizację programu, projektu lub zadania finansowanego z udziałem tych środków" w wysokości 77.763,84, wolnymi środkami w wysokości 1.841.602,53 zł. i nadwyżką budżetową z lat ubiegłych w wysokości 1.178.035,31 zł. </w:t>
      </w:r>
    </w:p>
    <w:p w14:paraId="5DC2459A" w14:textId="045EEFD2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Ustala się kwotę przychodów w wysokości 6.442.784,11 zł., w tym: przychody pochodzące z "niewykorzystanych środków pieniężnych na rachunku bieżącym budżetu, wynikających </w:t>
      </w:r>
      <w:r w:rsidR="0009573F" w:rsidRPr="00642CFB"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z rozliczenia dochodów i wydatków nimi finansowanych związanych ze szczególnymi zasadami wykonywania budżetu określonymi w odrębnych ustawach oraz wynikających </w:t>
      </w:r>
      <w:r w:rsidR="0009573F" w:rsidRPr="00642CFB"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>z rozliczenia środków określonych w art. 5 ust. 1 pkt 2 (ustawy o finansach publicznych) i dotacji na realizację programu, projektu lub zadania finansowanego z udziałem tych środków"</w:t>
      </w:r>
      <w:r w:rsidR="0009573F" w:rsidRPr="00642CFB">
        <w:rPr>
          <w:rFonts w:ascii="Times New Roman" w:hAnsi="Times New Roman" w:cs="Times New Roman"/>
          <w:kern w:val="0"/>
          <w:sz w:val="24"/>
          <w:szCs w:val="24"/>
        </w:rPr>
        <w:t xml:space="preserve">                   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 w wysokości 873.940,11 zł., zaciągnięcia kredytu w wysokości 500.000,00 zł., wolnych środków w wysokości 1.841.602,53 zł., nadwyżką budżetową z lat ubiegłych w wysokości 3.227.241,47 zł. i kwotę rozchodów w wysokości 2.845.382,43 zł., w tym: na spłatę kredytu </w:t>
      </w:r>
      <w:r w:rsidR="0009573F" w:rsidRPr="00642CFB">
        <w:rPr>
          <w:rFonts w:ascii="Times New Roman" w:hAnsi="Times New Roman" w:cs="Times New Roman"/>
          <w:kern w:val="0"/>
          <w:sz w:val="24"/>
          <w:szCs w:val="24"/>
        </w:rPr>
        <w:t xml:space="preserve">         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>w wysokości 313.486,00 zł. i przelewy na rachunki lokat w wysokości 2.531.896,43 zł., zgodnie z załącznikiem nr 3 do niniejszej uchwały.</w:t>
      </w:r>
    </w:p>
    <w:p w14:paraId="00F50455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§ 5.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 Ustala się wydatki na programy i projekty ze środków pochodzących z funduszy strukturalnych i Funduszu Spójności oraz pozostałe środki pochodzące ze źródeł zagranicznych nie podlegających zwrotowi w 2023 roku, zgodnie z załącznikiem nr 4 do niniejszej uchwały.</w:t>
      </w:r>
    </w:p>
    <w:p w14:paraId="52B3ED1F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>§ 6.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5B9C9999" w14:textId="77777777" w:rsidR="008C5223" w:rsidRPr="00642CFB" w:rsidRDefault="008C5223" w:rsidP="00A52905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1. Plan dochodów po zmianach – 27.593.253,62 zł.</w:t>
      </w:r>
    </w:p>
    <w:p w14:paraId="21BD77FF" w14:textId="77777777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w tym: dochody bieżące – 14.338.202,68 zł.</w:t>
      </w:r>
    </w:p>
    <w:p w14:paraId="19FC65FD" w14:textId="77777777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 xml:space="preserve">dochody majątkowe – 13.255.050,94 zł.                                                                                    </w:t>
      </w:r>
    </w:p>
    <w:p w14:paraId="7CB13D50" w14:textId="2379FD70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2. Plan wydatków po zmianach – 31.190.655,30 zł.</w:t>
      </w:r>
    </w:p>
    <w:p w14:paraId="368A1170" w14:textId="77777777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w tym: wydatki bieżące – 15.469.114,81 zł.</w:t>
      </w:r>
    </w:p>
    <w:p w14:paraId="69CBB466" w14:textId="77777777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>wydatki majątkowe – 15.721.540,49 zł.</w:t>
      </w:r>
    </w:p>
    <w:p w14:paraId="46D4AE88" w14:textId="77777777" w:rsidR="008C5223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7. </w:t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p w14:paraId="098B8402" w14:textId="4A8C74AF" w:rsidR="00E601F8" w:rsidRPr="00642CFB" w:rsidRDefault="008C5223" w:rsidP="00A529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  <w:r w:rsidRPr="00642CFB">
        <w:rPr>
          <w:rFonts w:ascii="Times New Roman" w:hAnsi="Times New Roman" w:cs="Times New Roman"/>
          <w:kern w:val="0"/>
          <w:sz w:val="24"/>
          <w:szCs w:val="24"/>
        </w:rPr>
        <w:tab/>
      </w:r>
    </w:p>
    <w:sectPr w:rsidR="00E601F8" w:rsidRPr="00642CFB" w:rsidSect="007D2699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DE"/>
    <w:rsid w:val="0009573F"/>
    <w:rsid w:val="004C704A"/>
    <w:rsid w:val="004F3E42"/>
    <w:rsid w:val="00552695"/>
    <w:rsid w:val="005B60A6"/>
    <w:rsid w:val="00642CFB"/>
    <w:rsid w:val="007A5A19"/>
    <w:rsid w:val="007D2699"/>
    <w:rsid w:val="008C5223"/>
    <w:rsid w:val="00A52905"/>
    <w:rsid w:val="00D44380"/>
    <w:rsid w:val="00E601F8"/>
    <w:rsid w:val="00EA57DE"/>
    <w:rsid w:val="00F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83FB"/>
  <w15:chartTrackingRefBased/>
  <w15:docId w15:val="{CED2EF50-0AB0-41A4-8B69-2C6874B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12</cp:revision>
  <cp:lastPrinted>2023-06-28T10:11:00Z</cp:lastPrinted>
  <dcterms:created xsi:type="dcterms:W3CDTF">2023-06-14T09:35:00Z</dcterms:created>
  <dcterms:modified xsi:type="dcterms:W3CDTF">2023-07-04T09:30:00Z</dcterms:modified>
</cp:coreProperties>
</file>