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1BBB" w14:textId="77777777" w:rsidR="00FF1FCE" w:rsidRPr="00FF1FCE" w:rsidRDefault="00FF1FCE" w:rsidP="00FF1FC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>ZARZĄDZENIE Nr 616/2023</w:t>
      </w:r>
    </w:p>
    <w:p w14:paraId="0E46BF43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B241726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 xml:space="preserve">  z dnia 30 listopada 2023 r.</w:t>
      </w:r>
    </w:p>
    <w:p w14:paraId="4298F448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E04215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FF1FCE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3653BD87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FF1FCE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FF1FCE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459AA9BA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96E2706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FF1FCE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71DC04F1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1.Zwiększyć plan dochodów o kwotę -  13.053,00 zł.</w:t>
      </w:r>
    </w:p>
    <w:p w14:paraId="20B683BE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 tym: dochody bieżące o kwotę – 13.053,00 zł.</w:t>
      </w:r>
    </w:p>
    <w:p w14:paraId="14E8E2F9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2. Zmniejszyć plan dochodów o kwotę – 47.004,00 zł.</w:t>
      </w:r>
    </w:p>
    <w:p w14:paraId="455820DB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 tym: dochodów bieżących o kwotę – 47.004,00 zł.</w:t>
      </w:r>
    </w:p>
    <w:p w14:paraId="60F14673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328A244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8E5C12C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FF1FCE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5130B736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1.Zwiększyć plan wydatków o kwotę – 25.444,66 zł.</w:t>
      </w:r>
    </w:p>
    <w:p w14:paraId="54F1609E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 tym: wydatki bieżące o kwotę – 25.444,66 zł.</w:t>
      </w:r>
    </w:p>
    <w:p w14:paraId="4B146A9C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2. Zmniejszyć plan wydatków o kwotę – 59.395,66 zł.</w:t>
      </w:r>
    </w:p>
    <w:p w14:paraId="694ABB03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 tym: wydatków bieżących o kwotę – 59.395,66 zł.</w:t>
      </w:r>
    </w:p>
    <w:p w14:paraId="72F541D8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45EC00EA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09EBFE2F" w14:textId="77777777" w:rsidR="00FF1FCE" w:rsidRPr="00FF1FCE" w:rsidRDefault="00FF1FCE" w:rsidP="00FF1F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>§ 3</w:t>
      </w:r>
      <w:r w:rsidRPr="00FF1FCE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D82F723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1. Plan dochodów po zmianach – 32.496.270,94 zł.</w:t>
      </w:r>
    </w:p>
    <w:p w14:paraId="644FDE0B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 tym: dochody bieżące – 16.691.220,00 zł.</w:t>
      </w:r>
    </w:p>
    <w:p w14:paraId="67062E26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dochody majątkowe – 15.805.050,94 zł.</w:t>
      </w:r>
    </w:p>
    <w:p w14:paraId="7325660E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2. Plan wydatków po zmianach – 35.286.711,71 zł.</w:t>
      </w:r>
    </w:p>
    <w:p w14:paraId="7CC929C2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 tym: wydatki bieżące – 16.895.935,28 zł.</w:t>
      </w:r>
    </w:p>
    <w:p w14:paraId="4C53EF49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kern w:val="0"/>
          <w:sz w:val="20"/>
          <w:szCs w:val="20"/>
        </w:rPr>
        <w:t>wydatki majątkowe – 18.390.776,43 zł.</w:t>
      </w:r>
    </w:p>
    <w:p w14:paraId="4B0FAE71" w14:textId="77777777" w:rsidR="00FF1FCE" w:rsidRPr="00FF1FCE" w:rsidRDefault="00FF1FCE" w:rsidP="00FF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3A4069C" w14:textId="77777777" w:rsidR="00FF1FCE" w:rsidRPr="00FF1FCE" w:rsidRDefault="00FF1FCE" w:rsidP="00FF1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F1FCE"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 w:rsidRPr="00FF1FCE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369E552E" w14:textId="77777777" w:rsidR="00FF1FCE" w:rsidRPr="00FF1FCE" w:rsidRDefault="00FF1FCE" w:rsidP="00FF1F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2B87B91" w14:textId="77777777" w:rsidR="00E601F8" w:rsidRDefault="00E601F8"/>
    <w:sectPr w:rsidR="00E601F8" w:rsidSect="00E02AB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CE"/>
    <w:rsid w:val="00D44380"/>
    <w:rsid w:val="00E601F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7323"/>
  <w15:chartTrackingRefBased/>
  <w15:docId w15:val="{E624B7A9-03D4-4A71-8B57-47A246D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2023-12-04T10:06:00Z</dcterms:created>
  <dcterms:modified xsi:type="dcterms:W3CDTF">2023-12-04T10:10:00Z</dcterms:modified>
</cp:coreProperties>
</file>